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.000009pt;margin-top:.299944pt;width:168.65pt;height:151.25pt;mso-position-horizontal-relative:page;mso-position-vertical-relative:page;z-index:-15798272" coordorigin="0,6" coordsize="3373,3025" path="m3373,6l0,6,0,3030,16,2989,46,2917,76,2846,108,2776,141,2706,175,2637,209,2568,245,2500,282,2433,320,2366,358,2300,398,2234,439,2169,480,2105,523,2041,566,1978,611,1916,656,1855,702,1794,750,1734,798,1675,846,1616,896,1558,947,1501,998,1445,1051,1389,1104,1335,1158,1281,1212,1228,1268,1175,1324,1124,1381,1073,1439,1024,1498,975,1557,927,1617,880,1678,834,1740,788,1802,744,1865,700,1928,658,1993,616,2058,576,2123,536,2190,497,2257,459,2324,423,2392,387,2461,352,2530,318,2600,286,2671,254,2742,223,2814,194,2886,165,2959,138,3032,112,3106,87,3180,62,3255,39,3330,18,3373,6xe" filled="true" fillcolor="#15375e" stroked="false">
            <v:path arrowok="t"/>
            <v:fill type="solid"/>
            <w10:wrap type="none"/>
          </v:shape>
        </w:pict>
      </w: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BodyText"/>
        <w:ind w:left="747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12847" cy="37490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84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6"/>
        </w:rPr>
      </w:pPr>
    </w:p>
    <w:p>
      <w:pPr>
        <w:pStyle w:val="BodyText"/>
        <w:spacing w:before="28"/>
        <w:ind w:left="1970" w:right="1981"/>
        <w:jc w:val="center"/>
        <w:rPr>
          <w:b w:val="0"/>
        </w:rPr>
      </w:pPr>
      <w:r>
        <w:rPr>
          <w:b w:val="0"/>
          <w:color w:val="41B5E6"/>
        </w:rPr>
        <w:t>UCLPartners Primary Care Webinar: Opportunities and Challenges of Managing</w:t>
      </w:r>
    </w:p>
    <w:p>
      <w:pPr>
        <w:pStyle w:val="BodyText"/>
        <w:ind w:left="614" w:right="626"/>
        <w:jc w:val="center"/>
        <w:rPr>
          <w:b w:val="0"/>
        </w:rPr>
      </w:pPr>
      <w:r>
        <w:rPr>
          <w:b w:val="0"/>
          <w:color w:val="41B5E6"/>
        </w:rPr>
        <w:t>Long-Term Conditions (LTC) in Integrated Care Systems (ICSs)</w:t>
      </w:r>
    </w:p>
    <w:p>
      <w:pPr>
        <w:pStyle w:val="BodyText"/>
        <w:spacing w:before="11"/>
        <w:rPr>
          <w:b w:val="0"/>
          <w:sz w:val="43"/>
        </w:rPr>
      </w:pPr>
    </w:p>
    <w:p>
      <w:pPr>
        <w:spacing w:before="0"/>
        <w:ind w:left="237" w:right="0" w:firstLine="0"/>
        <w:jc w:val="left"/>
        <w:rPr>
          <w:sz w:val="22"/>
        </w:rPr>
      </w:pPr>
      <w:r>
        <w:rPr>
          <w:b/>
          <w:sz w:val="22"/>
        </w:rPr>
        <w:t>Date and time | </w:t>
      </w:r>
      <w:r>
        <w:rPr>
          <w:sz w:val="22"/>
        </w:rPr>
        <w:t>24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September 2020, 18.00 – 19.15</w:t>
      </w:r>
    </w:p>
    <w:p>
      <w:pPr>
        <w:spacing w:before="199"/>
        <w:ind w:left="237" w:right="0" w:firstLine="0"/>
        <w:jc w:val="left"/>
        <w:rPr>
          <w:sz w:val="20"/>
        </w:rPr>
      </w:pPr>
      <w:r>
        <w:rPr>
          <w:b/>
          <w:sz w:val="22"/>
        </w:rPr>
        <w:t>Zoom link | </w:t>
      </w:r>
      <w:hyperlink r:id="rId6">
        <w:r>
          <w:rPr>
            <w:color w:val="404040"/>
            <w:sz w:val="20"/>
            <w:u w:val="single" w:color="404040"/>
          </w:rPr>
          <w:t>https://us02web.zoom.us/j/86196037414?pwd=eGRnczVRMXI3dWptT21Da1c2YTNTZz09</w:t>
        </w:r>
      </w:hyperlink>
    </w:p>
    <w:p>
      <w:pPr>
        <w:spacing w:line="240" w:lineRule="auto" w:before="9"/>
        <w:rPr>
          <w:sz w:val="11"/>
        </w:rPr>
      </w:pPr>
    </w:p>
    <w:p>
      <w:pPr>
        <w:spacing w:before="56"/>
        <w:ind w:left="237" w:right="0" w:firstLine="0"/>
        <w:jc w:val="left"/>
        <w:rPr>
          <w:sz w:val="22"/>
        </w:rPr>
      </w:pPr>
      <w:r>
        <w:rPr>
          <w:b/>
          <w:sz w:val="22"/>
        </w:rPr>
        <w:t>Chair | </w:t>
      </w:r>
      <w:r>
        <w:rPr>
          <w:sz w:val="22"/>
        </w:rPr>
        <w:t>Dr Matt Kearney</w:t>
      </w:r>
    </w:p>
    <w:p>
      <w:pPr>
        <w:spacing w:line="240" w:lineRule="auto" w:before="5" w:after="0"/>
        <w:rPr>
          <w:sz w:val="16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8"/>
        <w:gridCol w:w="4857"/>
        <w:gridCol w:w="3821"/>
      </w:tblGrid>
      <w:tr>
        <w:trPr>
          <w:trHeight w:val="389" w:hRule="atLeast"/>
        </w:trPr>
        <w:tc>
          <w:tcPr>
            <w:tcW w:w="1208" w:type="dxa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  <w:tc>
          <w:tcPr>
            <w:tcW w:w="48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599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382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Presenter</w:t>
            </w:r>
          </w:p>
        </w:tc>
      </w:tr>
      <w:tr>
        <w:trPr>
          <w:trHeight w:val="1039" w:hRule="atLeast"/>
        </w:trPr>
        <w:tc>
          <w:tcPr>
            <w:tcW w:w="12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9"/>
              <w:ind w:left="105"/>
              <w:rPr>
                <w:sz w:val="22"/>
              </w:rPr>
            </w:pPr>
            <w:r>
              <w:rPr>
                <w:sz w:val="22"/>
              </w:rPr>
              <w:t>18.00</w:t>
            </w:r>
          </w:p>
        </w:tc>
        <w:tc>
          <w:tcPr>
            <w:tcW w:w="4857" w:type="dxa"/>
          </w:tcPr>
          <w:p>
            <w:pPr>
              <w:pStyle w:val="TableParagraph"/>
              <w:spacing w:before="79"/>
              <w:ind w:left="599" w:right="1003"/>
              <w:rPr>
                <w:sz w:val="22"/>
              </w:rPr>
            </w:pPr>
            <w:r>
              <w:rPr>
                <w:sz w:val="22"/>
              </w:rPr>
              <w:t>Welcome and introductions Overview of UCLPartners Long Term Conditions Frameworks</w:t>
            </w:r>
          </w:p>
        </w:tc>
        <w:tc>
          <w:tcPr>
            <w:tcW w:w="38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00" w:right="132"/>
              <w:rPr>
                <w:i/>
                <w:sz w:val="22"/>
              </w:rPr>
            </w:pPr>
            <w:r>
              <w:rPr>
                <w:b/>
                <w:color w:val="3A3838"/>
                <w:sz w:val="22"/>
              </w:rPr>
              <w:t>Dr Matt Kearney </w:t>
            </w:r>
            <w:r>
              <w:rPr>
                <w:i/>
                <w:color w:val="3A3838"/>
                <w:sz w:val="22"/>
              </w:rPr>
              <w:t>(Programme Director </w:t>
            </w:r>
            <w:r>
              <w:rPr>
                <w:i/>
                <w:color w:val="3A3838"/>
                <w:sz w:val="22"/>
              </w:rPr>
              <w:t>at UCLPartners)</w:t>
            </w:r>
          </w:p>
        </w:tc>
      </w:tr>
      <w:tr>
        <w:trPr>
          <w:trHeight w:val="5393" w:hRule="atLeast"/>
        </w:trPr>
        <w:tc>
          <w:tcPr>
            <w:tcW w:w="120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3"/>
              <w:ind w:left="105"/>
              <w:rPr>
                <w:sz w:val="22"/>
              </w:rPr>
            </w:pPr>
            <w:r>
              <w:rPr>
                <w:sz w:val="22"/>
              </w:rPr>
              <w:t>18:10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4"/>
              <w:ind w:left="105"/>
              <w:rPr>
                <w:sz w:val="22"/>
              </w:rPr>
            </w:pPr>
            <w:r>
              <w:rPr>
                <w:sz w:val="22"/>
              </w:rPr>
              <w:t>18:25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18:30</w:t>
            </w:r>
          </w:p>
        </w:tc>
        <w:tc>
          <w:tcPr>
            <w:tcW w:w="4857" w:type="dxa"/>
          </w:tcPr>
          <w:p>
            <w:pPr>
              <w:pStyle w:val="TableParagraph"/>
              <w:spacing w:before="113"/>
              <w:ind w:left="599" w:right="298"/>
              <w:rPr>
                <w:sz w:val="22"/>
              </w:rPr>
            </w:pPr>
            <w:r>
              <w:rPr>
                <w:sz w:val="22"/>
              </w:rPr>
              <w:t>Vision and priorities of managing Long Term Conditions in NCL, in partnership with UCLP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599" w:right="175"/>
              <w:rPr>
                <w:sz w:val="22"/>
              </w:rPr>
            </w:pPr>
            <w:r>
              <w:rPr>
                <w:sz w:val="22"/>
              </w:rPr>
              <w:t>Opportunities and challenges for pharmacists in managing long term conditions from a secondary care perspective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599"/>
              <w:rPr>
                <w:sz w:val="22"/>
              </w:rPr>
            </w:pPr>
            <w:r>
              <w:rPr>
                <w:sz w:val="22"/>
              </w:rPr>
              <w:t>Q&amp;A and Poll Questions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before="1"/>
              <w:ind w:left="599" w:right="298"/>
              <w:rPr>
                <w:sz w:val="22"/>
              </w:rPr>
            </w:pPr>
            <w:r>
              <w:rPr>
                <w:sz w:val="22"/>
              </w:rPr>
              <w:t>Vision and priorities of managing Long Term Conditions in NEL, in partnership with UCLP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599" w:right="175"/>
              <w:rPr>
                <w:sz w:val="22"/>
              </w:rPr>
            </w:pPr>
            <w:r>
              <w:rPr>
                <w:sz w:val="22"/>
              </w:rPr>
              <w:t>Opportunities and challenges for pharmacists in managing long term conditions from a primary care perspective</w:t>
            </w:r>
          </w:p>
        </w:tc>
        <w:tc>
          <w:tcPr>
            <w:tcW w:w="382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00" w:right="497"/>
              <w:rPr>
                <w:i/>
                <w:sz w:val="22"/>
              </w:rPr>
            </w:pPr>
            <w:r>
              <w:rPr>
                <w:b/>
                <w:color w:val="3A3838"/>
                <w:sz w:val="22"/>
              </w:rPr>
              <w:t>Tendai Wileman - </w:t>
            </w:r>
            <w:r>
              <w:rPr>
                <w:i/>
                <w:color w:val="3A3838"/>
                <w:sz w:val="22"/>
              </w:rPr>
              <w:t>(Director of </w:t>
            </w:r>
            <w:r>
              <w:rPr>
                <w:i/>
                <w:color w:val="3A3838"/>
                <w:sz w:val="22"/>
              </w:rPr>
              <w:t>Programme Delivery North London Partners in Health and Care)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00" w:right="313"/>
              <w:jc w:val="both"/>
              <w:rPr>
                <w:i/>
                <w:sz w:val="22"/>
              </w:rPr>
            </w:pPr>
            <w:r>
              <w:rPr>
                <w:b/>
                <w:color w:val="3A3838"/>
                <w:sz w:val="22"/>
              </w:rPr>
              <w:t>Stuart Semple </w:t>
            </w:r>
            <w:r>
              <w:rPr>
                <w:sz w:val="22"/>
              </w:rPr>
              <w:t>- </w:t>
            </w:r>
            <w:r>
              <w:rPr>
                <w:i/>
                <w:sz w:val="22"/>
              </w:rPr>
              <w:t>(</w:t>
            </w:r>
            <w:r>
              <w:rPr>
                <w:i/>
                <w:color w:val="3A3838"/>
                <w:sz w:val="22"/>
              </w:rPr>
              <w:t>Chief Pharmacist at </w:t>
            </w:r>
            <w:r>
              <w:rPr>
                <w:i/>
                <w:color w:val="3A3838"/>
                <w:sz w:val="22"/>
              </w:rPr>
              <w:t>Moorfields, who has agreed to act as ‘interim’ pharmacy lead for NCL)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200" w:right="293"/>
              <w:rPr>
                <w:i/>
                <w:sz w:val="22"/>
              </w:rPr>
            </w:pPr>
            <w:r>
              <w:rPr>
                <w:b/>
                <w:color w:val="3A3838"/>
                <w:sz w:val="22"/>
              </w:rPr>
              <w:t>Dr Ken Aswani </w:t>
            </w:r>
            <w:r>
              <w:rPr>
                <w:i/>
                <w:sz w:val="22"/>
              </w:rPr>
              <w:t>(Waltham Forest CCG </w:t>
            </w:r>
            <w:r>
              <w:rPr>
                <w:i/>
                <w:sz w:val="22"/>
              </w:rPr>
              <w:t>Chair &amp; Chair of ELHCP Medicines Optimisation Steering Group)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200" w:right="196"/>
              <w:rPr>
                <w:i/>
                <w:sz w:val="22"/>
              </w:rPr>
            </w:pPr>
            <w:r>
              <w:rPr>
                <w:b/>
                <w:color w:val="3A3838"/>
                <w:sz w:val="22"/>
              </w:rPr>
              <w:t>Moira Coughlan </w:t>
            </w:r>
            <w:r>
              <w:rPr>
                <w:i/>
                <w:sz w:val="22"/>
              </w:rPr>
              <w:t>(</w:t>
            </w:r>
            <w:r>
              <w:rPr>
                <w:i/>
                <w:color w:val="3A3838"/>
                <w:sz w:val="22"/>
              </w:rPr>
              <w:t>Programme Director </w:t>
            </w:r>
            <w:r>
              <w:rPr>
                <w:i/>
                <w:color w:val="3A3838"/>
                <w:sz w:val="22"/>
              </w:rPr>
              <w:t>for Medicines Optimisation &amp; Pharmacy Transformation, ELHCP)</w:t>
            </w:r>
          </w:p>
        </w:tc>
      </w:tr>
      <w:tr>
        <w:trPr>
          <w:trHeight w:val="3037" w:hRule="atLeast"/>
        </w:trPr>
        <w:tc>
          <w:tcPr>
            <w:tcW w:w="1208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2"/>
              <w:ind w:left="105"/>
              <w:rPr>
                <w:sz w:val="22"/>
              </w:rPr>
            </w:pPr>
            <w:r>
              <w:rPr>
                <w:sz w:val="22"/>
              </w:rPr>
              <w:t>18:45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18:50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19.10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19.15</w:t>
            </w:r>
          </w:p>
        </w:tc>
        <w:tc>
          <w:tcPr>
            <w:tcW w:w="48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2"/>
              <w:ind w:left="599"/>
              <w:rPr>
                <w:sz w:val="22"/>
              </w:rPr>
            </w:pPr>
            <w:r>
              <w:rPr>
                <w:sz w:val="22"/>
              </w:rPr>
              <w:t>Q&amp;A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436" w:lineRule="auto"/>
              <w:ind w:left="599" w:right="1004"/>
              <w:rPr>
                <w:sz w:val="22"/>
              </w:rPr>
            </w:pPr>
            <w:r>
              <w:rPr>
                <w:sz w:val="22"/>
              </w:rPr>
              <w:t>Group discussions (Breakout rooms) Q&amp;A and Feedback poll</w:t>
            </w:r>
          </w:p>
          <w:p>
            <w:pPr>
              <w:pStyle w:val="TableParagraph"/>
              <w:spacing w:before="48"/>
              <w:ind w:left="599"/>
              <w:rPr>
                <w:sz w:val="22"/>
              </w:rPr>
            </w:pPr>
            <w:r>
              <w:rPr>
                <w:sz w:val="22"/>
              </w:rPr>
              <w:t>Close</w:t>
            </w: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599"/>
              <w:rPr>
                <w:sz w:val="20"/>
              </w:rPr>
            </w:pPr>
            <w:r>
              <w:rPr>
                <w:sz w:val="20"/>
              </w:rPr>
              <w:t>Next event: is 29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  <w:vertAlign w:val="baseline"/>
              </w:rPr>
              <w:t> October 2020 - 18:00 – 19:15</w:t>
            </w:r>
          </w:p>
        </w:tc>
        <w:tc>
          <w:tcPr>
            <w:tcW w:w="38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3"/>
              <w:ind w:left="200"/>
              <w:rPr>
                <w:b/>
                <w:sz w:val="22"/>
              </w:rPr>
            </w:pPr>
            <w:r>
              <w:rPr>
                <w:b/>
                <w:color w:val="3A3838"/>
                <w:sz w:val="22"/>
              </w:rPr>
              <w:t>All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00"/>
              <w:rPr>
                <w:b/>
                <w:sz w:val="22"/>
              </w:rPr>
            </w:pPr>
            <w:r>
              <w:rPr>
                <w:b/>
                <w:color w:val="3A3838"/>
                <w:sz w:val="22"/>
              </w:rPr>
              <w:t>Dr Matt Kearney</w:t>
            </w:r>
          </w:p>
        </w:tc>
      </w:tr>
    </w:tbl>
    <w:p>
      <w:pPr>
        <w:spacing w:line="240" w:lineRule="auto" w:before="7"/>
        <w:rPr>
          <w:sz w:val="13"/>
        </w:rPr>
      </w:pPr>
    </w:p>
    <w:p>
      <w:pPr>
        <w:spacing w:before="57"/>
        <w:ind w:left="2892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1267460</wp:posOffset>
            </wp:positionH>
            <wp:positionV relativeFrom="paragraph">
              <wp:posOffset>101253</wp:posOffset>
            </wp:positionV>
            <wp:extent cx="594995" cy="53549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53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Upcoming webinars:</w:t>
      </w:r>
    </w:p>
    <w:p>
      <w:pPr>
        <w:spacing w:before="2"/>
        <w:ind w:left="2892" w:right="0" w:firstLine="0"/>
        <w:jc w:val="left"/>
        <w:rPr>
          <w:i/>
          <w:sz w:val="20"/>
        </w:rPr>
      </w:pPr>
      <w:r>
        <w:rPr>
          <w:i/>
          <w:sz w:val="20"/>
        </w:rPr>
        <w:t>Last Thursday of every month excluding August and December 2020</w:t>
      </w:r>
    </w:p>
    <w:p>
      <w:pPr>
        <w:spacing w:line="240" w:lineRule="auto" w:before="11"/>
        <w:rPr>
          <w:i/>
          <w:sz w:val="19"/>
        </w:rPr>
      </w:pPr>
    </w:p>
    <w:p>
      <w:pPr>
        <w:tabs>
          <w:tab w:pos="3319" w:val="left" w:leader="none"/>
        </w:tabs>
        <w:spacing w:line="271" w:lineRule="exact" w:before="0"/>
        <w:ind w:left="2959" w:right="0" w:firstLine="0"/>
        <w:jc w:val="left"/>
        <w:rPr>
          <w:sz w:val="22"/>
        </w:rPr>
      </w:pPr>
      <w:r>
        <w:rPr>
          <w:rFonts w:ascii="Courier New" w:hAnsi="Courier New"/>
          <w:sz w:val="22"/>
        </w:rPr>
        <w:t>o</w:t>
        <w:tab/>
      </w:r>
      <w:r>
        <w:rPr>
          <w:sz w:val="22"/>
        </w:rPr>
        <w:t>29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October 2020 - 18:00 –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19:00</w:t>
      </w:r>
    </w:p>
    <w:p>
      <w:pPr>
        <w:tabs>
          <w:tab w:pos="3319" w:val="left" w:leader="none"/>
        </w:tabs>
        <w:spacing w:line="271" w:lineRule="exact" w:before="0"/>
        <w:ind w:left="2959" w:right="0" w:firstLine="0"/>
        <w:jc w:val="left"/>
        <w:rPr>
          <w:sz w:val="22"/>
        </w:rPr>
      </w:pPr>
      <w:r>
        <w:rPr>
          <w:rFonts w:ascii="Courier New" w:hAnsi="Courier New"/>
          <w:sz w:val="22"/>
        </w:rPr>
        <w:t>o</w:t>
        <w:tab/>
      </w:r>
      <w:r>
        <w:rPr>
          <w:sz w:val="22"/>
        </w:rPr>
        <w:t>26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November 2020 - 18:00 –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19:00</w:t>
      </w:r>
    </w:p>
    <w:sectPr>
      <w:type w:val="continuous"/>
      <w:pgSz w:w="11900" w:h="16850"/>
      <w:pgMar w:top="0" w:bottom="280" w:left="10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us02web.zoom.us/j/86196037414?pwd=eGRnczVRMXI3dWptT21Da1c2YTNTZz09" TargetMode="External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Boyd</dc:creator>
  <dcterms:created xsi:type="dcterms:W3CDTF">2020-09-21T15:42:05Z</dcterms:created>
  <dcterms:modified xsi:type="dcterms:W3CDTF">2020-09-21T15:42:05Z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2020-09-21T00:00:00Z</vt:filetime>
  </property>
</Properties>
</file>